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w:t>
      </w:r>
      <w:bookmarkStart w:id="0" w:name="_GoBack"/>
      <w:r>
        <w:rPr>
          <w:rFonts w:hint="eastAsia" w:ascii="仿宋_GB2312" w:hAnsi="仿宋_GB2312" w:eastAsia="仿宋_GB2312" w:cs="仿宋_GB2312"/>
          <w:b w:val="0"/>
          <w:bCs w:val="0"/>
          <w:color w:val="auto"/>
          <w:sz w:val="32"/>
          <w:szCs w:val="32"/>
          <w:highlight w:val="none"/>
          <w:lang w:eastAsia="zh-CN"/>
        </w:rPr>
        <w:t>监督管理</w:t>
      </w:r>
      <w:bookmarkEnd w:id="0"/>
      <w:r>
        <w:rPr>
          <w:rFonts w:hint="eastAsia" w:ascii="仿宋_GB2312" w:hAnsi="仿宋_GB2312" w:eastAsia="仿宋_GB2312" w:cs="仿宋_GB2312"/>
          <w:b w:val="0"/>
          <w:bCs w:val="0"/>
          <w:color w:val="auto"/>
          <w:sz w:val="32"/>
          <w:szCs w:val="32"/>
          <w:highlight w:val="none"/>
          <w:lang w:eastAsia="zh-CN"/>
        </w:rPr>
        <w:t>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21</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2023-05-29T13:56:14Z</cp:lastPrinted>
  <dcterms:modified xsi:type="dcterms:W3CDTF">2023-05-29T14:12:41Z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